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7E71" w14:textId="77777777" w:rsidR="00F20D19" w:rsidRDefault="007A2C89">
      <w:pPr>
        <w:pStyle w:val="Heading1"/>
      </w:pPr>
      <w:r>
        <w:t>R2 Frequently Asked Questions</w:t>
      </w:r>
    </w:p>
    <w:p w14:paraId="4814635B" w14:textId="77777777" w:rsidR="00F20D19" w:rsidRDefault="007A2C89">
      <w:pPr>
        <w:pStyle w:val="Heading2"/>
      </w:pPr>
      <w:r>
        <w:t>Eligibility</w:t>
      </w:r>
    </w:p>
    <w:p w14:paraId="51347DA3" w14:textId="77777777" w:rsidR="00F20D19" w:rsidRDefault="007A2C89">
      <w:r>
        <w:rPr>
          <w:b/>
        </w:rPr>
        <w:t>Q. What qualifies as a 'shovel-ready' project?</w:t>
      </w:r>
    </w:p>
    <w:p w14:paraId="65C4BF6A" w14:textId="77777777" w:rsidR="00F20D19" w:rsidRDefault="007A2C89">
      <w:r>
        <w:rPr>
          <w:color w:val="FF0000"/>
        </w:rPr>
        <w:t>A. A shovel-ready project is generally a construction or improvement project that requires gap funding to move forward.</w:t>
      </w:r>
    </w:p>
    <w:p w14:paraId="47F0203F" w14:textId="77777777" w:rsidR="00F20D19" w:rsidRDefault="007A2C89">
      <w:r>
        <w:rPr>
          <w:b/>
        </w:rPr>
        <w:t>Q. If an organization is headquartered outside New Britain but operates a program in New Britain serving 90% New Britain residents, is it eligible?</w:t>
      </w:r>
    </w:p>
    <w:p w14:paraId="6211E973" w14:textId="77777777" w:rsidR="00F20D19" w:rsidRDefault="007A2C89">
      <w:r>
        <w:rPr>
          <w:color w:val="FF0000"/>
        </w:rPr>
        <w:t>A. Yes. The organization may be headquartered elsewhere but must have a physical presence in the region through ownership, a lease, or a Memorandum of Agreement (MOA), and the program must demonstrate a long-term commitment to serving the region.</w:t>
      </w:r>
    </w:p>
    <w:p w14:paraId="6435D570" w14:textId="77777777" w:rsidR="00F20D19" w:rsidRDefault="007A2C89">
      <w:r>
        <w:rPr>
          <w:b/>
        </w:rPr>
        <w:t>Q. Does the 90% New Britain requirement apply to the entire organization or only the funded program?</w:t>
      </w:r>
    </w:p>
    <w:p w14:paraId="004A22C7" w14:textId="77777777" w:rsidR="00F20D19" w:rsidRDefault="007A2C89">
      <w:r>
        <w:rPr>
          <w:color w:val="FF0000"/>
        </w:rPr>
        <w:t>A. The requirement applies to the funded program. At least 90% of participants served by that program must reside in the region.</w:t>
      </w:r>
    </w:p>
    <w:p w14:paraId="3724CDC9" w14:textId="77777777" w:rsidR="00F20D19" w:rsidRDefault="007A2C89">
      <w:r>
        <w:rPr>
          <w:b/>
        </w:rPr>
        <w:t>Q. If a program stopped operating and is being relaunched, does it satisfy the three-year operating requirement?</w:t>
      </w:r>
    </w:p>
    <w:p w14:paraId="19F77948" w14:textId="77777777" w:rsidR="00F20D19" w:rsidRDefault="007A2C89">
      <w:r>
        <w:rPr>
          <w:color w:val="FF0000"/>
        </w:rPr>
        <w:t>A. No. The program must have operated continuously in the region for the previous three consecutive years.</w:t>
      </w:r>
    </w:p>
    <w:p w14:paraId="45F4782D" w14:textId="77777777" w:rsidR="00F20D19" w:rsidRDefault="007A2C89">
      <w:r>
        <w:rPr>
          <w:b/>
        </w:rPr>
        <w:t>Q. Does an organization need to have been a 501(c)(3) for three years to be eligible?</w:t>
      </w:r>
    </w:p>
    <w:p w14:paraId="4EB338F4" w14:textId="77777777" w:rsidR="00F20D19" w:rsidRDefault="007A2C89">
      <w:r>
        <w:rPr>
          <w:color w:val="FF0000"/>
        </w:rPr>
        <w:t>A. No. The requirement is that the organization has at least three years of experience operating programs aligned with the selected priority area within the region. The organization is not required to have held 501(c)(3) status for all three years.</w:t>
      </w:r>
    </w:p>
    <w:p w14:paraId="4C9CC3FA" w14:textId="77777777" w:rsidR="00F20D19" w:rsidRDefault="007A2C89">
      <w:r>
        <w:rPr>
          <w:b/>
        </w:rPr>
        <w:t>Q. Can a new program be proposed?</w:t>
      </w:r>
    </w:p>
    <w:p w14:paraId="351737C5" w14:textId="77777777" w:rsidR="00F20D19" w:rsidRDefault="007A2C89">
      <w:r>
        <w:rPr>
          <w:color w:val="FF0000"/>
        </w:rPr>
        <w:t>A. Yes. However, the organization must be able to demonstrate at least three years of experience delivering similar programming within the selected priority area and region.</w:t>
      </w:r>
    </w:p>
    <w:p w14:paraId="56C35443" w14:textId="77777777" w:rsidR="00F20D19" w:rsidRDefault="007A2C89">
      <w:r>
        <w:rPr>
          <w:b/>
        </w:rPr>
        <w:t>Q. If an organization has a physical location in the region but provides some services virtually, is it eligible?</w:t>
      </w:r>
    </w:p>
    <w:p w14:paraId="1E84640F" w14:textId="77777777" w:rsidR="00F20D19" w:rsidRDefault="007A2C89">
      <w:r>
        <w:rPr>
          <w:color w:val="FF0000"/>
        </w:rPr>
        <w:t>A. Yes. As long as the program maintains a physical presence within the region, virtual service delivery may be included.</w:t>
      </w:r>
    </w:p>
    <w:p w14:paraId="57FF657F" w14:textId="77777777" w:rsidR="00F20D19" w:rsidRDefault="007A2C89">
      <w:r>
        <w:rPr>
          <w:b/>
        </w:rPr>
        <w:t>Q. Does a recent organizational name change affect eligibility?</w:t>
      </w:r>
    </w:p>
    <w:p w14:paraId="7BE58F00" w14:textId="77777777" w:rsidR="00F20D19" w:rsidRDefault="007A2C89">
      <w:r>
        <w:rPr>
          <w:color w:val="FF0000"/>
        </w:rPr>
        <w:lastRenderedPageBreak/>
        <w:t>A. No. Organizations that have rebranded or changed names may still be eligible if they can demonstrate continuity of programming and experience.</w:t>
      </w:r>
    </w:p>
    <w:p w14:paraId="30ABF959" w14:textId="77777777" w:rsidR="00F20D19" w:rsidRDefault="007A2C89">
      <w:r>
        <w:rPr>
          <w:b/>
        </w:rPr>
        <w:t>Q. Can services be provided to participants without a permanent address?</w:t>
      </w:r>
    </w:p>
    <w:p w14:paraId="50899908" w14:textId="77777777" w:rsidR="00F20D19" w:rsidRDefault="007A2C89">
      <w:r>
        <w:rPr>
          <w:color w:val="FF0000"/>
        </w:rPr>
        <w:t>A. Yes. Applicants must still demonstrate that at least 90% of program participants are residents of New Britain.</w:t>
      </w:r>
    </w:p>
    <w:p w14:paraId="49C0AF9B" w14:textId="77777777" w:rsidR="00F20D19" w:rsidRDefault="007A2C89">
      <w:r>
        <w:rPr>
          <w:b/>
        </w:rPr>
        <w:t>Q. What age qualifies as youth?</w:t>
      </w:r>
    </w:p>
    <w:p w14:paraId="001DB623" w14:textId="77777777" w:rsidR="00F20D19" w:rsidRDefault="007A2C89">
      <w:r>
        <w:rPr>
          <w:color w:val="FF0000"/>
        </w:rPr>
        <w:t>A. No specific age range has been established. Applicants should define the youth population they intend to serve in a manner consistent with their mission and proposed program.</w:t>
      </w:r>
    </w:p>
    <w:p w14:paraId="0EE1149D" w14:textId="77777777" w:rsidR="00F20D19" w:rsidRDefault="007A2C89">
      <w:r>
        <w:rPr>
          <w:b/>
        </w:rPr>
        <w:t>Q. Can grant funds support federal clemency applications and state pardon assistance programs?</w:t>
      </w:r>
    </w:p>
    <w:p w14:paraId="6BE091D7" w14:textId="77777777" w:rsidR="00F20D19" w:rsidRDefault="007A2C89">
      <w:r>
        <w:rPr>
          <w:color w:val="FF0000"/>
        </w:rPr>
        <w:t>A. Additional information is needed regarding the specific activities proposed before eligibility can be determined.</w:t>
      </w:r>
    </w:p>
    <w:p w14:paraId="2147E644" w14:textId="77777777" w:rsidR="00F20D19" w:rsidRDefault="007A2C89">
      <w:pPr>
        <w:pStyle w:val="Heading2"/>
      </w:pPr>
      <w:r>
        <w:t>Partnerships &amp; Collaboration</w:t>
      </w:r>
    </w:p>
    <w:p w14:paraId="5E597FD0" w14:textId="77777777" w:rsidR="00F20D19" w:rsidRDefault="007A2C89">
      <w:r>
        <w:rPr>
          <w:b/>
        </w:rPr>
        <w:t>Q. If multiple agencies partner on a project, who must attend the mandatory trainings?</w:t>
      </w:r>
    </w:p>
    <w:p w14:paraId="2A8948D9" w14:textId="77777777" w:rsidR="00F20D19" w:rsidRDefault="007A2C89">
      <w:r>
        <w:rPr>
          <w:color w:val="FF0000"/>
        </w:rPr>
        <w:t>A. The lead applicant is required to attend the mandatory trainings.</w:t>
      </w:r>
    </w:p>
    <w:p w14:paraId="6FBC7117" w14:textId="77777777" w:rsidR="00F20D19" w:rsidRDefault="007A2C89">
      <w:r>
        <w:rPr>
          <w:b/>
        </w:rPr>
        <w:t>Q. Can an organization serve as both a lead applicant on one proposal and a subcontractor or vendor on another proposal?</w:t>
      </w:r>
    </w:p>
    <w:p w14:paraId="2B4B6B67" w14:textId="77777777" w:rsidR="00F20D19" w:rsidRDefault="007A2C89">
      <w:r>
        <w:rPr>
          <w:color w:val="FF0000"/>
        </w:rPr>
        <w:t>A. Yes. However, the subcontracted work must represent a limited scope of services and cannot be used as an indirect means of providing additional funding to the lead applicant's own project.</w:t>
      </w:r>
    </w:p>
    <w:p w14:paraId="07642590" w14:textId="77777777" w:rsidR="00F20D19" w:rsidRDefault="007A2C89">
      <w:r>
        <w:rPr>
          <w:b/>
        </w:rPr>
        <w:t>Q. Can an organization serve as a subcontractor or vendor on multiple applications or projects?</w:t>
      </w:r>
    </w:p>
    <w:p w14:paraId="2801C24E" w14:textId="77777777" w:rsidR="00F20D19" w:rsidRDefault="007A2C89">
      <w:r>
        <w:rPr>
          <w:color w:val="FF0000"/>
        </w:rPr>
        <w:t>A. Potentially, yes. Reviewers will consider the circumstances on a case-by-case basis.</w:t>
      </w:r>
    </w:p>
    <w:p w14:paraId="6687FEA1" w14:textId="77777777" w:rsidR="00F20D19" w:rsidRDefault="007A2C89">
      <w:r>
        <w:rPr>
          <w:b/>
        </w:rPr>
        <w:t>Q. Are there any limitations or recommendations regarding the number of partner organizations included in a proposal?</w:t>
      </w:r>
    </w:p>
    <w:p w14:paraId="0A404D98" w14:textId="77777777" w:rsidR="00F20D19" w:rsidRDefault="007A2C89">
      <w:r>
        <w:rPr>
          <w:color w:val="FF0000"/>
        </w:rPr>
        <w:t>A. There is no formal limit; however, applicants are encouraged to maintain a manageable partnership structure.</w:t>
      </w:r>
    </w:p>
    <w:p w14:paraId="5FED714C" w14:textId="77777777" w:rsidR="00F20D19" w:rsidRDefault="007A2C89">
      <w:pPr>
        <w:pStyle w:val="Heading2"/>
      </w:pPr>
      <w:r>
        <w:t>Funding Tiers</w:t>
      </w:r>
    </w:p>
    <w:p w14:paraId="3320497A" w14:textId="77777777" w:rsidR="00F20D19" w:rsidRDefault="007A2C89">
      <w:r>
        <w:rPr>
          <w:b/>
        </w:rPr>
        <w:t>Q. Beyond the funding amount, what should applicants consider when selecting a funding tier?</w:t>
      </w:r>
    </w:p>
    <w:p w14:paraId="78AF9121" w14:textId="77777777" w:rsidR="00F20D19" w:rsidRDefault="007A2C89">
      <w:r>
        <w:rPr>
          <w:color w:val="FF0000"/>
        </w:rPr>
        <w:lastRenderedPageBreak/>
        <w:t>A. Applicants should consider the scope and budget of the project, organizational capacity, experience administering similar funding, and anticipated impact.</w:t>
      </w:r>
    </w:p>
    <w:p w14:paraId="025F8798" w14:textId="77777777" w:rsidR="00F20D19" w:rsidRDefault="007A2C89">
      <w:r>
        <w:rPr>
          <w:b/>
        </w:rPr>
        <w:t>Q. What qualifies for Tier 1 through Tier 4 funding?</w:t>
      </w:r>
    </w:p>
    <w:p w14:paraId="25E17536" w14:textId="77777777" w:rsidR="00F20D19" w:rsidRDefault="007A2C89">
      <w:r>
        <w:rPr>
          <w:color w:val="FF0000"/>
        </w:rPr>
        <w:t>A. Funding tiers are primarily based on the amount requested and the organization's capacity to administer the grant. Shovel-ready capital projects are limited to Tier 4.</w:t>
      </w:r>
    </w:p>
    <w:p w14:paraId="555A6BCA" w14:textId="77777777" w:rsidR="00F20D19" w:rsidRDefault="007A2C89">
      <w:r>
        <w:rPr>
          <w:b/>
        </w:rPr>
        <w:t>Q. If an applicant requests a higher funding tier than reviewers believe is appropriate, will the application automatically be declined?</w:t>
      </w:r>
    </w:p>
    <w:p w14:paraId="08E606B1" w14:textId="77777777" w:rsidR="00F20D19" w:rsidRDefault="007A2C89">
      <w:r>
        <w:rPr>
          <w:color w:val="FF0000"/>
        </w:rPr>
        <w:t>A. No. Strong applications may still be considered for a lower funding amount if a reduced award would adequately support the proposed project.</w:t>
      </w:r>
    </w:p>
    <w:p w14:paraId="7B9B73C3" w14:textId="77777777" w:rsidR="00F20D19" w:rsidRDefault="007A2C89">
      <w:pPr>
        <w:pStyle w:val="Heading2"/>
      </w:pPr>
      <w:r>
        <w:t>Budget &amp; Administrative Costs</w:t>
      </w:r>
    </w:p>
    <w:p w14:paraId="15B4FA47" w14:textId="77777777" w:rsidR="00F20D19" w:rsidRDefault="007A2C89">
      <w:r>
        <w:rPr>
          <w:b/>
        </w:rPr>
        <w:t>Q. Can grant funds be used for lease agreements related to program space?</w:t>
      </w:r>
    </w:p>
    <w:p w14:paraId="5AF221C6" w14:textId="77777777" w:rsidR="00F20D19" w:rsidRDefault="007A2C89">
      <w:r>
        <w:rPr>
          <w:color w:val="FF0000"/>
        </w:rPr>
        <w:t>A. An appropriate portion of lease expenses may be included as an administrative cost when properly justified.</w:t>
      </w:r>
    </w:p>
    <w:p w14:paraId="16069AAC" w14:textId="77777777" w:rsidR="00F20D19" w:rsidRDefault="007A2C89">
      <w:r>
        <w:rPr>
          <w:b/>
        </w:rPr>
        <w:t>Q. If lease costs are allowable, should they be classified as administrative or direct program expenses?</w:t>
      </w:r>
    </w:p>
    <w:p w14:paraId="166887FC" w14:textId="77777777" w:rsidR="00F20D19" w:rsidRDefault="007A2C89">
      <w:r>
        <w:rPr>
          <w:color w:val="FF0000"/>
        </w:rPr>
        <w:t>A. Lease expenses that support general operations should be budgeted as administrative costs.</w:t>
      </w:r>
    </w:p>
    <w:p w14:paraId="43359DAC" w14:textId="77777777" w:rsidR="00F20D19" w:rsidRDefault="007A2C89">
      <w:r>
        <w:rPr>
          <w:b/>
        </w:rPr>
        <w:t>Q. Are technology upgrades, including hardware and software necessary for program implementation, allowable expenses?</w:t>
      </w:r>
    </w:p>
    <w:p w14:paraId="7AEEA221" w14:textId="77777777" w:rsidR="00F20D19" w:rsidRDefault="007A2C89">
      <w:r>
        <w:rPr>
          <w:color w:val="FF0000"/>
        </w:rPr>
        <w:t>A. Yes, subject to the Administrative &amp; General (A&amp;G) cap.</w:t>
      </w:r>
    </w:p>
    <w:p w14:paraId="2FCEB33E" w14:textId="77777777" w:rsidR="00F20D19" w:rsidRDefault="007A2C89">
      <w:r>
        <w:rPr>
          <w:b/>
        </w:rPr>
        <w:t>Q. Can subcontractors charge administrative costs?</w:t>
      </w:r>
    </w:p>
    <w:p w14:paraId="27BF10B1" w14:textId="77777777" w:rsidR="00F20D19" w:rsidRDefault="007A2C89">
      <w:r>
        <w:rPr>
          <w:color w:val="FF0000"/>
        </w:rPr>
        <w:t>A. Yes, provided the combined total does not exceed the administrative cap.</w:t>
      </w:r>
    </w:p>
    <w:p w14:paraId="67F00E7F" w14:textId="77777777" w:rsidR="00F20D19" w:rsidRDefault="007A2C89">
      <w:r>
        <w:rPr>
          <w:b/>
        </w:rPr>
        <w:t>Q. Are salaries and fringe benefits allowable expenses?</w:t>
      </w:r>
    </w:p>
    <w:p w14:paraId="7F6900D0" w14:textId="77777777" w:rsidR="00F20D19" w:rsidRDefault="007A2C89">
      <w:r>
        <w:rPr>
          <w:color w:val="FF0000"/>
        </w:rPr>
        <w:t>A. Yes. Personnel costs that are reasonable, necessary, and directly related to implementation of the proposed project may be included in the budget.</w:t>
      </w:r>
    </w:p>
    <w:p w14:paraId="7A51343A" w14:textId="77777777" w:rsidR="00F20D19" w:rsidRDefault="007A2C89">
      <w:r>
        <w:rPr>
          <w:b/>
        </w:rPr>
        <w:t>Q. Are mileage expenses allowable?</w:t>
      </w:r>
    </w:p>
    <w:p w14:paraId="184DA144" w14:textId="77777777" w:rsidR="00F20D19" w:rsidRDefault="007A2C89">
      <w:r>
        <w:rPr>
          <w:color w:val="FF0000"/>
        </w:rPr>
        <w:t>A. Yes. Mileage may be included when directly related to project activities or required grant-related events.</w:t>
      </w:r>
    </w:p>
    <w:p w14:paraId="75305B7B" w14:textId="77777777" w:rsidR="00F20D19" w:rsidRDefault="007A2C89">
      <w:r>
        <w:rPr>
          <w:b/>
        </w:rPr>
        <w:t>Q. Are indirect costs allowable?</w:t>
      </w:r>
    </w:p>
    <w:p w14:paraId="5B327D36" w14:textId="77777777" w:rsidR="00F20D19" w:rsidRDefault="007A2C89">
      <w:r>
        <w:rPr>
          <w:color w:val="FF0000"/>
        </w:rPr>
        <w:t>A. No. Indirect costs are not allowable. Administrative costs may be included up to the A&amp;G cap and must be specifically identified in the budget.</w:t>
      </w:r>
    </w:p>
    <w:p w14:paraId="3AFA6073" w14:textId="77777777" w:rsidR="00F20D19" w:rsidRDefault="007A2C89">
      <w:pPr>
        <w:pStyle w:val="Heading2"/>
      </w:pPr>
      <w:r>
        <w:lastRenderedPageBreak/>
        <w:t>Participant Incentives &amp; Direct Financial Assistance</w:t>
      </w:r>
    </w:p>
    <w:p w14:paraId="325301D5" w14:textId="77777777" w:rsidR="00F20D19" w:rsidRDefault="007A2C89">
      <w:r>
        <w:rPr>
          <w:b/>
        </w:rPr>
        <w:t>Q. Can grant funds be used to match participant savings or asset-building accounts?</w:t>
      </w:r>
    </w:p>
    <w:p w14:paraId="357A0AFE" w14:textId="77777777" w:rsidR="00F20D19" w:rsidRDefault="007A2C89">
      <w:r>
        <w:rPr>
          <w:color w:val="FF0000"/>
        </w:rPr>
        <w:t>A. No.</w:t>
      </w:r>
    </w:p>
    <w:p w14:paraId="2604781C" w14:textId="77777777" w:rsidR="00F20D19" w:rsidRDefault="007A2C89">
      <w:r>
        <w:rPr>
          <w:b/>
        </w:rPr>
        <w:t>Q. Can gift cards or participant incentives be included in the budget?</w:t>
      </w:r>
    </w:p>
    <w:p w14:paraId="148088BD" w14:textId="77777777" w:rsidR="00F20D19" w:rsidRDefault="007A2C89">
      <w:r>
        <w:rPr>
          <w:color w:val="FF0000"/>
        </w:rPr>
        <w:t>A. Yes, if reasonable, justified, and directly support participation or outcomes.</w:t>
      </w:r>
    </w:p>
    <w:p w14:paraId="220A87D7" w14:textId="77777777" w:rsidR="00F20D19" w:rsidRDefault="007A2C89">
      <w:r>
        <w:rPr>
          <w:b/>
        </w:rPr>
        <w:t>Q. Can paid internships, stipends, or wages for program participants be funded?</w:t>
      </w:r>
    </w:p>
    <w:p w14:paraId="0909FA08" w14:textId="77777777" w:rsidR="00F20D19" w:rsidRDefault="007A2C89">
      <w:r>
        <w:rPr>
          <w:color w:val="FF0000"/>
        </w:rPr>
        <w:t>A. Yes. Appropriate documentation will be required.</w:t>
      </w:r>
    </w:p>
    <w:p w14:paraId="5EC9BDDA" w14:textId="77777777" w:rsidR="00F20D19" w:rsidRDefault="007A2C89">
      <w:r>
        <w:rPr>
          <w:b/>
        </w:rPr>
        <w:t>Q. If participant incentives are allowable, how should they be budgeted?</w:t>
      </w:r>
    </w:p>
    <w:p w14:paraId="7C852FD4" w14:textId="77777777" w:rsidR="00F20D19" w:rsidRDefault="007A2C89">
      <w:r>
        <w:rPr>
          <w:color w:val="FF0000"/>
        </w:rPr>
        <w:t>A. As direct program costs.</w:t>
      </w:r>
    </w:p>
    <w:p w14:paraId="1C88DDD7" w14:textId="77777777" w:rsidR="00F20D19" w:rsidRDefault="007A2C89">
      <w:pPr>
        <w:pStyle w:val="Heading2"/>
      </w:pPr>
      <w:r>
        <w:t>Facilities &amp; Capital Improvements</w:t>
      </w:r>
    </w:p>
    <w:p w14:paraId="49B34477" w14:textId="77777777" w:rsidR="00F20D19" w:rsidRDefault="007A2C89">
      <w:r>
        <w:rPr>
          <w:b/>
        </w:rPr>
        <w:t>Q. Can grant funds be used to repair or renovate nonprofit-owned property?</w:t>
      </w:r>
    </w:p>
    <w:p w14:paraId="7D566E61" w14:textId="77777777" w:rsidR="00F20D19" w:rsidRDefault="007A2C89">
      <w:r>
        <w:rPr>
          <w:color w:val="FF0000"/>
        </w:rPr>
        <w:t>A. Yes. Eligible Tier 4 shovel-ready projects may include renovations that improve safety, accessibility, or program capacity.</w:t>
      </w:r>
    </w:p>
    <w:p w14:paraId="77D587AE" w14:textId="77777777" w:rsidR="00F20D19" w:rsidRDefault="007A2C89">
      <w:r>
        <w:rPr>
          <w:b/>
        </w:rPr>
        <w:t>Q. What types of capital improvements are priorities?</w:t>
      </w:r>
    </w:p>
    <w:p w14:paraId="55C31592" w14:textId="77777777" w:rsidR="00F20D19" w:rsidRDefault="007A2C89">
      <w:r>
        <w:rPr>
          <w:color w:val="FF0000"/>
        </w:rPr>
        <w:t>A. Deferred maintenance projects are not eligible.</w:t>
      </w:r>
    </w:p>
    <w:p w14:paraId="381F6984" w14:textId="77777777" w:rsidR="00F20D19" w:rsidRDefault="007A2C89">
      <w:r>
        <w:rPr>
          <w:b/>
        </w:rPr>
        <w:t>Q. Can shovel-ready projects include facility expansion or build-out?</w:t>
      </w:r>
    </w:p>
    <w:p w14:paraId="281FC0E0" w14:textId="77777777" w:rsidR="00F20D19" w:rsidRDefault="007A2C89">
      <w:r>
        <w:rPr>
          <w:color w:val="FF0000"/>
        </w:rPr>
        <w:t>A. Yes, particularly when the project significantly expands service capacity.</w:t>
      </w:r>
    </w:p>
    <w:p w14:paraId="653715A2" w14:textId="77777777" w:rsidR="00F20D19" w:rsidRDefault="007A2C89">
      <w:r>
        <w:rPr>
          <w:b/>
        </w:rPr>
        <w:t>Q. Would installation of a fire sprinkler system needed for a higher level of licensed care be an allowable expense?</w:t>
      </w:r>
    </w:p>
    <w:p w14:paraId="0D45D3E7" w14:textId="77777777" w:rsidR="00F20D19" w:rsidRDefault="007A2C89">
      <w:r>
        <w:rPr>
          <w:color w:val="FF0000"/>
        </w:rPr>
        <w:t>A. Applicants would need to demonstrate how the improvement increases service capacity and meets shovel-ready criteria.</w:t>
      </w:r>
    </w:p>
    <w:p w14:paraId="4ADEF58C" w14:textId="77777777" w:rsidR="00F20D19" w:rsidRDefault="007A2C89">
      <w:pPr>
        <w:pStyle w:val="Heading2"/>
      </w:pPr>
      <w:r>
        <w:t>Multi-Region Applications</w:t>
      </w:r>
    </w:p>
    <w:p w14:paraId="667ED147" w14:textId="77777777" w:rsidR="00F20D19" w:rsidRDefault="007A2C89">
      <w:r>
        <w:rPr>
          <w:b/>
        </w:rPr>
        <w:t>Q. Can an organization submit one proposal serving multiple R2 regions?</w:t>
      </w:r>
    </w:p>
    <w:p w14:paraId="2A2F6D55" w14:textId="77777777" w:rsidR="00F20D19" w:rsidRDefault="007A2C89">
      <w:r>
        <w:rPr>
          <w:color w:val="FF0000"/>
        </w:rPr>
        <w:t>A. No. Separate applications must be submitted for each region.</w:t>
      </w:r>
    </w:p>
    <w:p w14:paraId="788215DD" w14:textId="77777777" w:rsidR="00F20D19" w:rsidRDefault="007A2C89">
      <w:r>
        <w:rPr>
          <w:b/>
        </w:rPr>
        <w:t>Q. Can an organization apply in multiple regions?</w:t>
      </w:r>
    </w:p>
    <w:p w14:paraId="318DC422" w14:textId="77777777" w:rsidR="00F20D19" w:rsidRDefault="007A2C89">
      <w:r>
        <w:rPr>
          <w:color w:val="FF0000"/>
        </w:rPr>
        <w:t>A. Yes. Separate applications are required for each region and each must independently meet eligibility requirements.</w:t>
      </w:r>
    </w:p>
    <w:p w14:paraId="26AA2824" w14:textId="77777777" w:rsidR="00F20D19" w:rsidRDefault="007A2C89">
      <w:pPr>
        <w:pStyle w:val="Heading2"/>
      </w:pPr>
      <w:r>
        <w:lastRenderedPageBreak/>
        <w:t>Program Eligibility &amp; Scope</w:t>
      </w:r>
    </w:p>
    <w:p w14:paraId="68D2B41C" w14:textId="77777777" w:rsidR="00F20D19" w:rsidRDefault="007A2C89">
      <w:r>
        <w:rPr>
          <w:b/>
        </w:rPr>
        <w:t>Q. Can an organization apply for funding to expand or supplement an existing program?</w:t>
      </w:r>
    </w:p>
    <w:p w14:paraId="76547780" w14:textId="77777777" w:rsidR="00F20D19" w:rsidRDefault="007A2C89">
      <w:r>
        <w:rPr>
          <w:color w:val="FF0000"/>
        </w:rPr>
        <w:t>A. Yes. Proposed projects may expand, enhance, or supplement existing programs.</w:t>
      </w:r>
    </w:p>
    <w:p w14:paraId="217967D5" w14:textId="77777777" w:rsidR="00F20D19" w:rsidRDefault="007A2C89">
      <w:pPr>
        <w:pStyle w:val="Heading2"/>
      </w:pPr>
      <w:r>
        <w:t>Letters of Support</w:t>
      </w:r>
    </w:p>
    <w:p w14:paraId="49911372" w14:textId="77777777" w:rsidR="00F20D19" w:rsidRDefault="007A2C89">
      <w:r>
        <w:rPr>
          <w:b/>
        </w:rPr>
        <w:t>Q. Who should provide letters of support?</w:t>
      </w:r>
    </w:p>
    <w:p w14:paraId="5DA3D7AD" w14:textId="77777777" w:rsidR="00F20D19" w:rsidRDefault="007A2C89">
      <w:r>
        <w:rPr>
          <w:color w:val="FF0000"/>
        </w:rPr>
        <w:t>A. Letters may come from organizations or individuals familiar with the applicant's work and impact.</w:t>
      </w:r>
    </w:p>
    <w:p w14:paraId="7195EAD3" w14:textId="77777777" w:rsidR="00F20D19" w:rsidRDefault="007A2C89">
      <w:pPr>
        <w:pStyle w:val="Heading2"/>
      </w:pPr>
      <w:r>
        <w:t>Reporting &amp; Outcomes</w:t>
      </w:r>
    </w:p>
    <w:p w14:paraId="1F5E9ED5" w14:textId="77777777" w:rsidR="00F20D19" w:rsidRDefault="007A2C89">
      <w:r>
        <w:rPr>
          <w:b/>
        </w:rPr>
        <w:t>Q. Which reporting metrics must be completed?</w:t>
      </w:r>
    </w:p>
    <w:p w14:paraId="0C0026BA" w14:textId="77777777" w:rsidR="00F20D19" w:rsidRDefault="007A2C89">
      <w:r>
        <w:rPr>
          <w:color w:val="FF0000"/>
        </w:rPr>
        <w:t>A. Applicants should complete required demographic information and relevant program-specific outcomes.</w:t>
      </w:r>
    </w:p>
    <w:p w14:paraId="7CDA5CC6" w14:textId="77777777" w:rsidR="00F20D19" w:rsidRDefault="007A2C89">
      <w:r>
        <w:rPr>
          <w:b/>
        </w:rPr>
        <w:t>Q. Must every outcome measure be collected?</w:t>
      </w:r>
    </w:p>
    <w:p w14:paraId="60260267" w14:textId="77777777" w:rsidR="00F20D19" w:rsidRDefault="007A2C89">
      <w:r>
        <w:rPr>
          <w:color w:val="FF0000"/>
        </w:rPr>
        <w:t>A. No. Applicants should select measures they can reasonably collect and report.</w:t>
      </w:r>
    </w:p>
    <w:p w14:paraId="2D37079B" w14:textId="77777777" w:rsidR="00F20D19" w:rsidRDefault="007A2C89">
      <w:r>
        <w:rPr>
          <w:b/>
        </w:rPr>
        <w:t>Q. Do the domestic violence reporting measures indicate a funding priority?</w:t>
      </w:r>
    </w:p>
    <w:p w14:paraId="332B8526" w14:textId="77777777" w:rsidR="00F20D19" w:rsidRDefault="007A2C89">
      <w:r>
        <w:rPr>
          <w:color w:val="FF0000"/>
        </w:rPr>
        <w:t>A. No.</w:t>
      </w:r>
    </w:p>
    <w:p w14:paraId="279FD35B" w14:textId="77777777" w:rsidR="00F20D19" w:rsidRDefault="007A2C89">
      <w:r>
        <w:rPr>
          <w:b/>
        </w:rPr>
        <w:t>Q. Will funded organizations be required to participate in training?</w:t>
      </w:r>
    </w:p>
    <w:p w14:paraId="397C07A6" w14:textId="77777777" w:rsidR="00F20D19" w:rsidRDefault="007A2C89">
      <w:r>
        <w:rPr>
          <w:color w:val="FF0000"/>
        </w:rPr>
        <w:t>A. Yes. Awarded organizations should expect onboarding and technical assistance.</w:t>
      </w:r>
    </w:p>
    <w:p w14:paraId="663E50FB" w14:textId="77777777" w:rsidR="00F20D19" w:rsidRDefault="007A2C89">
      <w:r>
        <w:rPr>
          <w:b/>
        </w:rPr>
        <w:t>Q. What reporting requirements will funded organizations have?</w:t>
      </w:r>
    </w:p>
    <w:p w14:paraId="7FB599AD" w14:textId="77777777" w:rsidR="00F20D19" w:rsidRDefault="007A2C89">
      <w:r>
        <w:rPr>
          <w:color w:val="FF0000"/>
        </w:rPr>
        <w:t>A. Funded organizations will submit fiscal and programmatic reports and may be subject to site visits.</w:t>
      </w:r>
    </w:p>
    <w:p w14:paraId="74D582A6" w14:textId="77777777" w:rsidR="00F20D19" w:rsidRDefault="007A2C89">
      <w:pPr>
        <w:pStyle w:val="Heading2"/>
      </w:pPr>
      <w:r>
        <w:t>Program Design</w:t>
      </w:r>
    </w:p>
    <w:p w14:paraId="3E01FD6F" w14:textId="77777777" w:rsidR="00F20D19" w:rsidRDefault="007A2C89">
      <w:r>
        <w:rPr>
          <w:b/>
        </w:rPr>
        <w:t>Q. Can housing navigation or transitional housing programs be considered Economic Development?</w:t>
      </w:r>
    </w:p>
    <w:p w14:paraId="6D647126" w14:textId="77777777" w:rsidR="00F20D19" w:rsidRDefault="007A2C89">
      <w:r>
        <w:rPr>
          <w:color w:val="FF0000"/>
        </w:rPr>
        <w:t>A. Yes, depending on project structure and alignment.</w:t>
      </w:r>
    </w:p>
    <w:p w14:paraId="4155B93D" w14:textId="77777777" w:rsidR="00F20D19" w:rsidRDefault="007A2C89">
      <w:r>
        <w:rPr>
          <w:b/>
        </w:rPr>
        <w:t>Q. Can financial literacy programs be submitted under Economic Development?</w:t>
      </w:r>
    </w:p>
    <w:p w14:paraId="10B02B82" w14:textId="77777777" w:rsidR="00F20D19" w:rsidRDefault="007A2C89">
      <w:r>
        <w:rPr>
          <w:color w:val="FF0000"/>
        </w:rPr>
        <w:t>A. Yes.</w:t>
      </w:r>
    </w:p>
    <w:p w14:paraId="5181E59B" w14:textId="77777777" w:rsidR="00F20D19" w:rsidRDefault="007A2C89">
      <w:r>
        <w:rPr>
          <w:b/>
        </w:rPr>
        <w:t>Q. Can programs serving both youth and adults apply under Economic Development?</w:t>
      </w:r>
    </w:p>
    <w:p w14:paraId="7F523ACE" w14:textId="77777777" w:rsidR="00F20D19" w:rsidRDefault="007A2C89">
      <w:r>
        <w:rPr>
          <w:color w:val="FF0000"/>
        </w:rPr>
        <w:t>A. Yes.</w:t>
      </w:r>
    </w:p>
    <w:p w14:paraId="10A6E654" w14:textId="77777777" w:rsidR="00F20D19" w:rsidRDefault="007A2C89">
      <w:r>
        <w:rPr>
          <w:b/>
        </w:rPr>
        <w:lastRenderedPageBreak/>
        <w:t>Q. Can childcare or family-serving programs be submitted under Economic Development?</w:t>
      </w:r>
    </w:p>
    <w:p w14:paraId="6DDED0CC" w14:textId="77777777" w:rsidR="00F20D19" w:rsidRDefault="007A2C89">
      <w:r>
        <w:rPr>
          <w:color w:val="FF0000"/>
        </w:rPr>
        <w:t>A. Potentially. Applicants should select the priority area that best reflects the primary goal and intended outcomes.</w:t>
      </w:r>
    </w:p>
    <w:p w14:paraId="17FD095D" w14:textId="77777777" w:rsidR="00F20D19" w:rsidRDefault="007A2C89">
      <w:r>
        <w:rPr>
          <w:b/>
        </w:rPr>
        <w:t>Q. Does re-entry refer only to formerly incarcerated individuals?</w:t>
      </w:r>
    </w:p>
    <w:p w14:paraId="615CF3F3" w14:textId="77777777" w:rsidR="00F20D19" w:rsidRDefault="007A2C89">
      <w:r>
        <w:rPr>
          <w:color w:val="FF0000"/>
        </w:rPr>
        <w:t>A. Follow-up guidance from the Social Equity Council is pending.</w:t>
      </w:r>
    </w:p>
    <w:p w14:paraId="46078FD6" w14:textId="77777777" w:rsidR="00F20D19" w:rsidRDefault="007A2C89">
      <w:r>
        <w:rPr>
          <w:b/>
        </w:rPr>
        <w:t>Q. Can a major equipment purchase, such as a forklift, be funded?</w:t>
      </w:r>
    </w:p>
    <w:p w14:paraId="2B25E76D" w14:textId="77777777" w:rsidR="00F20D19" w:rsidRDefault="007A2C89">
      <w:r>
        <w:rPr>
          <w:color w:val="FF0000"/>
        </w:rPr>
        <w:t>A. Follow-up guidance from the Social Equity Council is pending.</w:t>
      </w:r>
    </w:p>
    <w:sectPr w:rsidR="00F20D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5403449">
    <w:abstractNumId w:val="8"/>
  </w:num>
  <w:num w:numId="2" w16cid:durableId="317734454">
    <w:abstractNumId w:val="6"/>
  </w:num>
  <w:num w:numId="3" w16cid:durableId="301083423">
    <w:abstractNumId w:val="5"/>
  </w:num>
  <w:num w:numId="4" w16cid:durableId="730693379">
    <w:abstractNumId w:val="4"/>
  </w:num>
  <w:num w:numId="5" w16cid:durableId="1615097111">
    <w:abstractNumId w:val="7"/>
  </w:num>
  <w:num w:numId="6" w16cid:durableId="1017193551">
    <w:abstractNumId w:val="3"/>
  </w:num>
  <w:num w:numId="7" w16cid:durableId="1362852060">
    <w:abstractNumId w:val="2"/>
  </w:num>
  <w:num w:numId="8" w16cid:durableId="749692981">
    <w:abstractNumId w:val="1"/>
  </w:num>
  <w:num w:numId="9" w16cid:durableId="184735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3208"/>
    <w:rsid w:val="007A2C89"/>
    <w:rsid w:val="00AA1D8D"/>
    <w:rsid w:val="00B47730"/>
    <w:rsid w:val="00C66711"/>
    <w:rsid w:val="00CB0664"/>
    <w:rsid w:val="00F20D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103F09"/>
  <w14:defaultImageDpi w14:val="300"/>
  <w15:docId w15:val="{496C9F3A-988A-4819-816B-58262F6A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Joeline Wruck</cp:lastModifiedBy>
  <cp:revision>2</cp:revision>
  <dcterms:created xsi:type="dcterms:W3CDTF">2026-06-24T17:32:00Z</dcterms:created>
  <dcterms:modified xsi:type="dcterms:W3CDTF">2026-06-24T17:32:00Z</dcterms:modified>
  <cp:category/>
</cp:coreProperties>
</file>